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A0" w:rsidRDefault="00CC1EA0" w:rsidP="00CC1EA0">
      <w:pPr>
        <w:jc w:val="center"/>
        <w:rPr>
          <w:b/>
          <w:bCs/>
          <w:sz w:val="24"/>
          <w:szCs w:val="24"/>
        </w:rPr>
      </w:pPr>
      <w:r>
        <w:rPr>
          <w:b/>
          <w:bCs/>
          <w:sz w:val="24"/>
          <w:szCs w:val="24"/>
        </w:rPr>
        <w:t>KENAI PENINSULA BOROUGH SCHOOL DISTRICT</w:t>
      </w:r>
    </w:p>
    <w:p w:rsidR="00CC1EA0" w:rsidRDefault="00CC1EA0" w:rsidP="00CC1EA0">
      <w:pPr>
        <w:jc w:val="center"/>
        <w:rPr>
          <w:b/>
          <w:bCs/>
          <w:sz w:val="24"/>
          <w:szCs w:val="24"/>
        </w:rPr>
      </w:pPr>
      <w:r>
        <w:rPr>
          <w:b/>
          <w:bCs/>
          <w:sz w:val="24"/>
          <w:szCs w:val="24"/>
        </w:rPr>
        <w:t>PROJECTED ENROLLMENT</w:t>
      </w:r>
    </w:p>
    <w:p w:rsidR="00CC1EA0" w:rsidRDefault="00CC1EA0" w:rsidP="00CC1EA0">
      <w:pPr>
        <w:jc w:val="center"/>
        <w:rPr>
          <w:sz w:val="24"/>
          <w:szCs w:val="24"/>
        </w:rPr>
      </w:pPr>
    </w:p>
    <w:tbl>
      <w:tblPr>
        <w:tblW w:w="0" w:type="auto"/>
        <w:tblCellMar>
          <w:left w:w="0" w:type="dxa"/>
          <w:right w:w="0" w:type="dxa"/>
        </w:tblCellMar>
        <w:tblLook w:val="04A0" w:firstRow="1" w:lastRow="0" w:firstColumn="1" w:lastColumn="0" w:noHBand="0" w:noVBand="1"/>
      </w:tblPr>
      <w:tblGrid>
        <w:gridCol w:w="1767"/>
        <w:gridCol w:w="3080"/>
        <w:gridCol w:w="1927"/>
        <w:gridCol w:w="2566"/>
      </w:tblGrid>
      <w:tr w:rsidR="00CC1EA0" w:rsidRPr="00CC1EA0" w:rsidTr="00CC1EA0">
        <w:tc>
          <w:tcPr>
            <w:tcW w:w="718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rPr>
                <w:sz w:val="24"/>
                <w:szCs w:val="24"/>
              </w:rPr>
            </w:pPr>
            <w:r w:rsidRPr="00CC1EA0">
              <w:rPr>
                <w:b/>
                <w:bCs/>
                <w:sz w:val="24"/>
                <w:szCs w:val="24"/>
              </w:rPr>
              <w:t>Name of School:</w:t>
            </w:r>
            <w:r w:rsidRPr="00CC1EA0">
              <w:rPr>
                <w:sz w:val="24"/>
                <w:szCs w:val="24"/>
              </w:rPr>
              <w:t xml:space="preserve"> Mountain View Elementary</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sz w:val="24"/>
                <w:szCs w:val="24"/>
              </w:rPr>
            </w:pPr>
            <w:r w:rsidRPr="00CC1EA0">
              <w:rPr>
                <w:b/>
                <w:bCs/>
                <w:sz w:val="24"/>
                <w:szCs w:val="24"/>
              </w:rPr>
              <w:t>Date:</w:t>
            </w:r>
            <w:r w:rsidRPr="00CC1EA0">
              <w:rPr>
                <w:sz w:val="24"/>
                <w:szCs w:val="24"/>
              </w:rPr>
              <w:t xml:space="preserve"> 10/3/17</w:t>
            </w:r>
          </w:p>
        </w:tc>
      </w:tr>
      <w:tr w:rsidR="00CC1EA0" w:rsidRPr="00CC1EA0" w:rsidTr="00CC1EA0">
        <w:tc>
          <w:tcPr>
            <w:tcW w:w="957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C1EA0" w:rsidRPr="00CC1EA0" w:rsidRDefault="00CC1EA0">
            <w:pPr>
              <w:rPr>
                <w:sz w:val="24"/>
                <w:szCs w:val="24"/>
              </w:rPr>
            </w:pP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Grade: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 Students Projected:</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outlineLvl w:val="0"/>
              <w:rPr>
                <w:sz w:val="24"/>
                <w:szCs w:val="24"/>
              </w:rPr>
            </w:pPr>
            <w:r w:rsidRPr="00CC1EA0">
              <w:rPr>
                <w:b/>
                <w:bCs/>
                <w:sz w:val="24"/>
                <w:szCs w:val="24"/>
              </w:rPr>
              <w:t>From: Grade Advancement / Feeder School</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PS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20</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0" w:name="Text4"/>
            <w:bookmarkEnd w:id="0"/>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K</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80</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We have had 80 plus kindergarten students the last 3 years [ 4 sections 20 students each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1</w:t>
            </w:r>
            <w:r w:rsidRPr="00CC1EA0">
              <w:rPr>
                <w:b/>
                <w:bCs/>
                <w:sz w:val="24"/>
                <w:szCs w:val="24"/>
                <w:vertAlign w:val="superscript"/>
              </w:rPr>
              <w:t>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86  + (5*)</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 xml:space="preserve">Rolled up </w:t>
            </w:r>
            <w:proofErr w:type="spellStart"/>
            <w:r w:rsidRPr="00CC1EA0">
              <w:rPr>
                <w:b/>
                <w:bCs/>
                <w:sz w:val="24"/>
                <w:szCs w:val="24"/>
              </w:rPr>
              <w:t>Kinders</w:t>
            </w:r>
            <w:proofErr w:type="spellEnd"/>
            <w:r w:rsidRPr="00CC1EA0">
              <w:rPr>
                <w:b/>
                <w:bCs/>
                <w:sz w:val="24"/>
                <w:szCs w:val="24"/>
              </w:rPr>
              <w:t xml:space="preserve"> [ 4 sections 21.5 students each]</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2</w:t>
            </w:r>
            <w:r w:rsidRPr="00CC1EA0">
              <w:rPr>
                <w:b/>
                <w:bCs/>
                <w:sz w:val="24"/>
                <w:szCs w:val="24"/>
                <w:vertAlign w:val="superscript"/>
              </w:rPr>
              <w:t>nd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80 (2*)</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Rolled up 1</w:t>
            </w:r>
            <w:r w:rsidRPr="00CC1EA0">
              <w:rPr>
                <w:b/>
                <w:bCs/>
                <w:sz w:val="24"/>
                <w:szCs w:val="24"/>
                <w:vertAlign w:val="superscript"/>
              </w:rPr>
              <w:t>st</w:t>
            </w:r>
            <w:r w:rsidRPr="00CC1EA0">
              <w:rPr>
                <w:b/>
                <w:bCs/>
                <w:sz w:val="24"/>
                <w:szCs w:val="24"/>
              </w:rPr>
              <w:t xml:space="preserve"> [4 sections 20 students each]</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3</w:t>
            </w:r>
            <w:r w:rsidRPr="00CC1EA0">
              <w:rPr>
                <w:b/>
                <w:bCs/>
                <w:sz w:val="24"/>
                <w:szCs w:val="24"/>
                <w:vertAlign w:val="superscript"/>
              </w:rPr>
              <w:t>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67 (4*)</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Rolled up 2</w:t>
            </w:r>
            <w:r w:rsidRPr="00CC1EA0">
              <w:rPr>
                <w:b/>
                <w:bCs/>
                <w:sz w:val="24"/>
                <w:szCs w:val="24"/>
                <w:vertAlign w:val="superscript"/>
              </w:rPr>
              <w:t>nd</w:t>
            </w:r>
            <w:r w:rsidRPr="00CC1EA0">
              <w:rPr>
                <w:b/>
                <w:bCs/>
                <w:sz w:val="24"/>
                <w:szCs w:val="24"/>
              </w:rPr>
              <w:t xml:space="preserve"> [3 sections 21.5 students each]</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4</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72 (5*)</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Rolled up 3</w:t>
            </w:r>
            <w:r w:rsidRPr="00CC1EA0">
              <w:rPr>
                <w:b/>
                <w:bCs/>
                <w:sz w:val="24"/>
                <w:szCs w:val="24"/>
                <w:vertAlign w:val="superscript"/>
              </w:rPr>
              <w:t>rd</w:t>
            </w:r>
            <w:r w:rsidRPr="00CC1EA0">
              <w:rPr>
                <w:b/>
                <w:bCs/>
                <w:sz w:val="24"/>
                <w:szCs w:val="24"/>
              </w:rPr>
              <w:t xml:space="preserve"> [3 sections 24 students each]</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5</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66 (3*)</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Rolled up 4</w:t>
            </w:r>
            <w:r w:rsidRPr="00CC1EA0">
              <w:rPr>
                <w:b/>
                <w:bCs/>
                <w:sz w:val="24"/>
                <w:szCs w:val="24"/>
                <w:vertAlign w:val="superscript"/>
              </w:rPr>
              <w:t>th</w:t>
            </w:r>
            <w:r w:rsidRPr="00CC1EA0">
              <w:rPr>
                <w:b/>
                <w:bCs/>
                <w:sz w:val="24"/>
                <w:szCs w:val="24"/>
              </w:rPr>
              <w:t xml:space="preserve"> [3 sections 22 students each]</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6</w:t>
            </w:r>
            <w:r w:rsidRPr="00CC1EA0">
              <w:rPr>
                <w:b/>
                <w:bCs/>
                <w:sz w:val="24"/>
                <w:szCs w:val="24"/>
                <w:vertAlign w:val="superscript"/>
              </w:rPr>
              <w:t>th</w:t>
            </w:r>
            <w:r w:rsidRPr="00CC1EA0">
              <w:rPr>
                <w:b/>
                <w:bCs/>
                <w:sz w:val="24"/>
                <w:szCs w:val="24"/>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1" w:name="Text17"/>
            <w:bookmarkEnd w:id="1"/>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2" w:name="Text18"/>
            <w:bookmarkEnd w:id="2"/>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7</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3" w:name="Text19"/>
            <w:bookmarkEnd w:id="3"/>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4" w:name="Text20"/>
            <w:bookmarkEnd w:id="4"/>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8</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5" w:name="Text21"/>
            <w:bookmarkEnd w:id="5"/>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6" w:name="Text22"/>
            <w:bookmarkEnd w:id="6"/>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9</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7" w:name="Text23"/>
            <w:bookmarkEnd w:id="7"/>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8" w:name="Text24"/>
            <w:bookmarkEnd w:id="8"/>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10</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9" w:name="Text25"/>
            <w:bookmarkEnd w:id="9"/>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10" w:name="Text26"/>
            <w:bookmarkEnd w:id="10"/>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11</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11" w:name="Text27"/>
            <w:bookmarkEnd w:id="11"/>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12" w:name="Text28"/>
            <w:bookmarkEnd w:id="12"/>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12</w:t>
            </w:r>
            <w:r w:rsidRPr="00CC1EA0">
              <w:rPr>
                <w:b/>
                <w:bCs/>
                <w:sz w:val="24"/>
                <w:szCs w:val="24"/>
                <w:vertAlign w:val="superscript"/>
              </w:rPr>
              <w:t>th</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bookmarkStart w:id="13" w:name="Text29"/>
            <w:bookmarkEnd w:id="13"/>
            <w:r w:rsidRPr="00CC1EA0">
              <w:rPr>
                <w:b/>
                <w:bCs/>
                <w:sz w:val="24"/>
                <w:szCs w:val="24"/>
              </w:rPr>
              <w:t>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bookmarkStart w:id="14" w:name="Text30"/>
            <w:bookmarkEnd w:id="14"/>
            <w:r w:rsidRPr="00CC1EA0">
              <w:rPr>
                <w:b/>
                <w:bCs/>
                <w:sz w:val="24"/>
                <w:szCs w:val="24"/>
              </w:rPr>
              <w:t>     </w:t>
            </w: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1EA0" w:rsidRPr="00CC1EA0" w:rsidRDefault="00CC1EA0">
            <w:pPr>
              <w:jc w:val="center"/>
              <w:rPr>
                <w:b/>
                <w:bCs/>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CC1EA0" w:rsidRPr="00CC1EA0" w:rsidRDefault="00CC1EA0">
            <w:pPr>
              <w:jc w:val="center"/>
              <w:rPr>
                <w:b/>
                <w:bCs/>
                <w:sz w:val="24"/>
                <w:szCs w:val="24"/>
              </w:rPr>
            </w:pP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tcPr>
          <w:p w:rsidR="00CC1EA0" w:rsidRPr="00CC1EA0" w:rsidRDefault="00CC1EA0">
            <w:pPr>
              <w:rPr>
                <w:b/>
                <w:bCs/>
                <w:sz w:val="24"/>
                <w:szCs w:val="24"/>
              </w:rPr>
            </w:pPr>
          </w:p>
        </w:tc>
      </w:tr>
      <w:tr w:rsidR="00CC1EA0" w:rsidRPr="00CC1EA0" w:rsidTr="00CC1EA0">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Total</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jc w:val="center"/>
              <w:rPr>
                <w:b/>
                <w:bCs/>
                <w:sz w:val="24"/>
                <w:szCs w:val="24"/>
              </w:rPr>
            </w:pPr>
            <w:r w:rsidRPr="00CC1EA0">
              <w:rPr>
                <w:b/>
                <w:bCs/>
                <w:sz w:val="24"/>
                <w:szCs w:val="24"/>
              </w:rPr>
              <w:t xml:space="preserve">471 + (22*) = 499 TOTAL </w:t>
            </w:r>
          </w:p>
        </w:tc>
        <w:tc>
          <w:tcPr>
            <w:tcW w:w="47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1EA0" w:rsidRPr="00CC1EA0" w:rsidRDefault="00CC1EA0">
            <w:pPr>
              <w:rPr>
                <w:b/>
                <w:bCs/>
                <w:sz w:val="24"/>
                <w:szCs w:val="24"/>
              </w:rPr>
            </w:pPr>
            <w:r w:rsidRPr="00CC1EA0">
              <w:rPr>
                <w:b/>
                <w:bCs/>
                <w:sz w:val="24"/>
                <w:szCs w:val="24"/>
              </w:rPr>
              <w:t>(*) Structured Primary Students, many of which push into gen. ed. classrooms</w:t>
            </w:r>
          </w:p>
        </w:tc>
      </w:tr>
      <w:tr w:rsidR="00CC1EA0" w:rsidRPr="00CC1EA0" w:rsidTr="00CC1EA0">
        <w:tc>
          <w:tcPr>
            <w:tcW w:w="1965" w:type="dxa"/>
            <w:vAlign w:val="center"/>
            <w:hideMark/>
          </w:tcPr>
          <w:p w:rsidR="00CC1EA0" w:rsidRPr="00CC1EA0" w:rsidRDefault="00CC1EA0">
            <w:pPr>
              <w:rPr>
                <w:b/>
                <w:bCs/>
                <w:sz w:val="24"/>
                <w:szCs w:val="24"/>
              </w:rPr>
            </w:pPr>
          </w:p>
        </w:tc>
        <w:tc>
          <w:tcPr>
            <w:tcW w:w="3495" w:type="dxa"/>
            <w:vAlign w:val="center"/>
            <w:hideMark/>
          </w:tcPr>
          <w:p w:rsidR="00CC1EA0" w:rsidRPr="00CC1EA0" w:rsidRDefault="00CC1EA0">
            <w:pPr>
              <w:rPr>
                <w:rFonts w:ascii="Times New Roman" w:eastAsia="Times New Roman" w:hAnsi="Times New Roman" w:cs="Times New Roman"/>
                <w:sz w:val="24"/>
                <w:szCs w:val="24"/>
              </w:rPr>
            </w:pPr>
          </w:p>
        </w:tc>
        <w:tc>
          <w:tcPr>
            <w:tcW w:w="2295" w:type="dxa"/>
            <w:vAlign w:val="center"/>
            <w:hideMark/>
          </w:tcPr>
          <w:p w:rsidR="00CC1EA0" w:rsidRPr="00CC1EA0" w:rsidRDefault="00CC1EA0">
            <w:pPr>
              <w:rPr>
                <w:rFonts w:ascii="Times New Roman" w:eastAsia="Times New Roman" w:hAnsi="Times New Roman" w:cs="Times New Roman"/>
                <w:sz w:val="24"/>
                <w:szCs w:val="24"/>
              </w:rPr>
            </w:pPr>
          </w:p>
        </w:tc>
        <w:tc>
          <w:tcPr>
            <w:tcW w:w="2850" w:type="dxa"/>
            <w:vAlign w:val="center"/>
            <w:hideMark/>
          </w:tcPr>
          <w:p w:rsidR="00CC1EA0" w:rsidRPr="00CC1EA0" w:rsidRDefault="00CC1EA0">
            <w:pPr>
              <w:rPr>
                <w:rFonts w:ascii="Times New Roman" w:eastAsia="Times New Roman" w:hAnsi="Times New Roman" w:cs="Times New Roman"/>
                <w:sz w:val="24"/>
                <w:szCs w:val="24"/>
              </w:rPr>
            </w:pPr>
          </w:p>
        </w:tc>
      </w:tr>
    </w:tbl>
    <w:p w:rsidR="00CC1EA0" w:rsidRPr="00CC1EA0" w:rsidRDefault="00CC1EA0" w:rsidP="00CC1EA0">
      <w:pPr>
        <w:rPr>
          <w:b/>
          <w:bCs/>
          <w:sz w:val="24"/>
          <w:szCs w:val="24"/>
        </w:rPr>
      </w:pPr>
    </w:p>
    <w:tbl>
      <w:tblPr>
        <w:tblW w:w="0" w:type="auto"/>
        <w:tblCellMar>
          <w:left w:w="0" w:type="dxa"/>
          <w:right w:w="0" w:type="dxa"/>
        </w:tblCellMar>
        <w:tblLook w:val="04A0" w:firstRow="1" w:lastRow="0" w:firstColumn="1" w:lastColumn="0" w:noHBand="0" w:noVBand="1"/>
      </w:tblPr>
      <w:tblGrid>
        <w:gridCol w:w="9340"/>
      </w:tblGrid>
      <w:tr w:rsidR="00CC1EA0" w:rsidRPr="00CC1EA0" w:rsidTr="00CC1EA0">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1EA0" w:rsidRPr="00CC1EA0" w:rsidRDefault="00CC1EA0">
            <w:pPr>
              <w:rPr>
                <w:b/>
                <w:bCs/>
                <w:sz w:val="24"/>
                <w:szCs w:val="24"/>
              </w:rPr>
            </w:pPr>
            <w:r w:rsidRPr="00CC1EA0">
              <w:rPr>
                <w:b/>
                <w:bCs/>
                <w:sz w:val="24"/>
                <w:szCs w:val="24"/>
              </w:rPr>
              <w:t xml:space="preserve">Justification of unusual enrollment projections: </w:t>
            </w:r>
          </w:p>
          <w:p w:rsidR="00CC1EA0" w:rsidRPr="00CC1EA0" w:rsidRDefault="00CC1EA0" w:rsidP="00083EC9">
            <w:pPr>
              <w:pStyle w:val="ListParagraph"/>
              <w:numPr>
                <w:ilvl w:val="0"/>
                <w:numId w:val="1"/>
              </w:numPr>
              <w:spacing w:after="0" w:line="240" w:lineRule="auto"/>
              <w:rPr>
                <w:b/>
                <w:bCs/>
                <w:sz w:val="24"/>
                <w:szCs w:val="24"/>
              </w:rPr>
            </w:pPr>
            <w:r w:rsidRPr="00CC1EA0">
              <w:rPr>
                <w:b/>
                <w:bCs/>
                <w:sz w:val="24"/>
                <w:szCs w:val="24"/>
              </w:rPr>
              <w:t>Using these numbers, the initial look at staffing would show a need for an additional 2</w:t>
            </w:r>
            <w:r w:rsidRPr="00CC1EA0">
              <w:rPr>
                <w:b/>
                <w:bCs/>
                <w:sz w:val="24"/>
                <w:szCs w:val="24"/>
                <w:vertAlign w:val="superscript"/>
              </w:rPr>
              <w:t>nd</w:t>
            </w:r>
            <w:r w:rsidRPr="00CC1EA0">
              <w:rPr>
                <w:b/>
                <w:bCs/>
                <w:sz w:val="24"/>
                <w:szCs w:val="24"/>
              </w:rPr>
              <w:t xml:space="preserve"> grade teacher as our large k -1 bubbles are moving up and there are no grade levels far enough below PTR recommendations to even consider consolidating into multiage class rooms.  </w:t>
            </w:r>
          </w:p>
          <w:p w:rsidR="00CC1EA0" w:rsidRPr="00CC1EA0" w:rsidRDefault="00CC1EA0" w:rsidP="00083EC9">
            <w:pPr>
              <w:pStyle w:val="ListParagraph"/>
              <w:numPr>
                <w:ilvl w:val="0"/>
                <w:numId w:val="1"/>
              </w:numPr>
              <w:spacing w:after="0" w:line="240" w:lineRule="auto"/>
              <w:rPr>
                <w:b/>
                <w:bCs/>
                <w:sz w:val="24"/>
                <w:szCs w:val="24"/>
              </w:rPr>
            </w:pPr>
            <w:r w:rsidRPr="00CC1EA0">
              <w:rPr>
                <w:b/>
                <w:sz w:val="24"/>
                <w:szCs w:val="24"/>
              </w:rPr>
              <w:t>This year we had over 81 non-kinder students that were new to school: 40 were from KPBSD and 41 were from outside of KPBSD.</w:t>
            </w:r>
            <w:r w:rsidRPr="00CC1EA0">
              <w:rPr>
                <w:sz w:val="24"/>
                <w:szCs w:val="24"/>
              </w:rPr>
              <w:t xml:space="preserve"> </w:t>
            </w:r>
            <w:r w:rsidRPr="00CC1EA0">
              <w:rPr>
                <w:b/>
                <w:bCs/>
                <w:sz w:val="24"/>
                <w:szCs w:val="24"/>
              </w:rPr>
              <w:t>While unscientific and based solely on casual surveys on parents registering new students it seems that Kenai is the place of choice for families migrating out of Anchorage, the Valley, and the Bush. This immigration to Kenai resulted in Mountain View adding 1.5 FTE after the start of this year.</w:t>
            </w:r>
          </w:p>
          <w:p w:rsidR="00CC1EA0" w:rsidRPr="00CC1EA0" w:rsidRDefault="00CC1EA0">
            <w:pPr>
              <w:rPr>
                <w:b/>
                <w:bCs/>
                <w:sz w:val="24"/>
                <w:szCs w:val="24"/>
              </w:rPr>
            </w:pPr>
          </w:p>
        </w:tc>
      </w:tr>
    </w:tbl>
    <w:p w:rsidR="00CC1EA0" w:rsidRDefault="00CC1EA0" w:rsidP="00CC1EA0">
      <w:r>
        <w:t>                                                                                                                                             </w:t>
      </w:r>
    </w:p>
    <w:p w:rsidR="00CC1EA0" w:rsidRDefault="00CC1EA0" w:rsidP="00CC1EA0">
      <w:r>
        <w:t>My best guess for the immigration to Kenai is that:</w:t>
      </w:r>
    </w:p>
    <w:p w:rsidR="00CC1EA0" w:rsidRDefault="00CC1EA0" w:rsidP="00CC1EA0"/>
    <w:p w:rsidR="00CC1EA0" w:rsidRDefault="00CC1EA0" w:rsidP="00CC1EA0">
      <w:pPr>
        <w:pStyle w:val="ListParagraph"/>
        <w:numPr>
          <w:ilvl w:val="0"/>
          <w:numId w:val="2"/>
        </w:numPr>
      </w:pPr>
      <w:proofErr w:type="spellStart"/>
      <w:r>
        <w:t>Kenaitze</w:t>
      </w:r>
      <w:proofErr w:type="spellEnd"/>
      <w:r>
        <w:t xml:space="preserve"> services, existing family contacts, and a more rural setting make Kenai the best alternative for relocation from the Bush.</w:t>
      </w:r>
    </w:p>
    <w:p w:rsidR="00CC1EA0" w:rsidRDefault="00CC1EA0" w:rsidP="00CC1EA0">
      <w:pPr>
        <w:pStyle w:val="ListParagraph"/>
        <w:numPr>
          <w:ilvl w:val="0"/>
          <w:numId w:val="2"/>
        </w:numPr>
      </w:pPr>
      <w:r>
        <w:t>People are moving out of Anchorage due to crime and violence (just last week I had a dad tell me that’s why his three kids are here)</w:t>
      </w:r>
    </w:p>
    <w:p w:rsidR="00CC1EA0" w:rsidRDefault="00CC1EA0" w:rsidP="00CC1EA0">
      <w:pPr>
        <w:pStyle w:val="ListParagraph"/>
        <w:numPr>
          <w:ilvl w:val="0"/>
          <w:numId w:val="2"/>
        </w:numPr>
      </w:pPr>
      <w:r>
        <w:t>Slope workers can choose to live here as opposed to Anchorage (we have quite a few amenities and 1</w:t>
      </w:r>
      <w:r w:rsidRPr="00CC1EA0">
        <w:rPr>
          <w:vertAlign w:val="superscript"/>
        </w:rPr>
        <w:t>st</w:t>
      </w:r>
      <w:r>
        <w:t xml:space="preserve"> class recreation)</w:t>
      </w:r>
    </w:p>
    <w:p w:rsidR="00CC1EA0" w:rsidRDefault="00CC1EA0" w:rsidP="00CC1EA0">
      <w:pPr>
        <w:pStyle w:val="ListParagraph"/>
        <w:numPr>
          <w:ilvl w:val="0"/>
          <w:numId w:val="2"/>
        </w:numPr>
      </w:pPr>
      <w:r>
        <w:t>Kenai has lower cost housing than Soldotna</w:t>
      </w:r>
    </w:p>
    <w:p w:rsidR="00CC1EA0" w:rsidRDefault="00CC1EA0" w:rsidP="00CC1EA0">
      <w:pPr>
        <w:rPr>
          <w:u w:val="single"/>
        </w:rPr>
      </w:pPr>
      <w:r>
        <w:t xml:space="preserve">Whatever the reason I fully expect this trend to continue, and we should plan like it will. </w:t>
      </w:r>
      <w:r>
        <w:rPr>
          <w:u w:val="single"/>
        </w:rPr>
        <w:t>Having said that we do not have the space to accommodate the classes listed in the enrollment projection above.  </w:t>
      </w:r>
    </w:p>
    <w:p w:rsidR="00CC1EA0" w:rsidRDefault="00CC1EA0" w:rsidP="00CC1EA0">
      <w:pPr>
        <w:rPr>
          <w:u w:val="single"/>
        </w:rPr>
      </w:pPr>
    </w:p>
    <w:p w:rsidR="00CC1EA0" w:rsidRDefault="00FF1AC9" w:rsidP="00CC1EA0">
      <w:r w:rsidRPr="00FF1AC9">
        <w:rPr>
          <w:u w:val="single"/>
        </w:rPr>
        <w:t>In reality we do not currently have the space to adequately run our school with our current enrollment.</w:t>
      </w:r>
      <w:r>
        <w:t xml:space="preserve"> </w:t>
      </w:r>
      <w:r w:rsidR="00CC1EA0">
        <w:t xml:space="preserve">We converted our computer lab this year to fit a new classroom. We now </w:t>
      </w:r>
      <w:r>
        <w:t>have no computer lab.</w:t>
      </w:r>
      <w:r w:rsidR="00CC1EA0">
        <w:t xml:space="preserve"> </w:t>
      </w:r>
      <w:r>
        <w:t>We moved our transition behavior program into a space that was used for small group sped. work and structured primary work to relieve crowding in those rooms. Our new Title VI grant funded tutor</w:t>
      </w:r>
      <w:r w:rsidR="00E12CCB">
        <w:t xml:space="preserve"> </w:t>
      </w:r>
      <w:proofErr w:type="gramStart"/>
      <w:r w:rsidR="00E12CCB">
        <w:t>( 96</w:t>
      </w:r>
      <w:proofErr w:type="gramEnd"/>
      <w:r w:rsidR="00E12CCB">
        <w:t xml:space="preserve"> of our students qualify for Title VI services) </w:t>
      </w:r>
      <w:r>
        <w:t xml:space="preserve"> took over a space that was used for small group work and meetings. We have no additional space for teachers to do art or science projects that may need to be left intact to dry or to be continued later. S</w:t>
      </w:r>
      <w:r w:rsidR="00CC1EA0">
        <w:t>upplies are stored in the hall because outside service providers</w:t>
      </w:r>
      <w:r w:rsidR="00E12CCB">
        <w:t xml:space="preserve">, </w:t>
      </w:r>
      <w:proofErr w:type="spellStart"/>
      <w:r w:rsidR="00E12CCB">
        <w:t>Kenaitze</w:t>
      </w:r>
      <w:proofErr w:type="spellEnd"/>
      <w:r w:rsidR="00E12CCB">
        <w:t xml:space="preserve"> and PCHS behavior programs, </w:t>
      </w:r>
      <w:r w:rsidR="00CC1EA0">
        <w:t>use s</w:t>
      </w:r>
      <w:r w:rsidR="00E12CCB">
        <w:t>torage rooms for their offices.</w:t>
      </w:r>
      <w:r w:rsidR="00CC1EA0">
        <w:t xml:space="preserve"> </w:t>
      </w:r>
      <w:r>
        <w:t>All</w:t>
      </w:r>
      <w:r w:rsidR="00E12CCB">
        <w:t xml:space="preserve"> </w:t>
      </w:r>
      <w:r w:rsidR="00CC1EA0">
        <w:t xml:space="preserve">other spaces are fully utilized, title and sped instruction often takes place in the hall at heavy times.  Our 3 portables contain a </w:t>
      </w:r>
      <w:proofErr w:type="spellStart"/>
      <w:r w:rsidR="00CC1EA0">
        <w:t>gen.ed</w:t>
      </w:r>
      <w:proofErr w:type="spellEnd"/>
      <w:r w:rsidR="00CC1EA0">
        <w:t xml:space="preserve">. class, a behavior class, and quest/title. </w:t>
      </w:r>
    </w:p>
    <w:p w:rsidR="00FF1AC9" w:rsidRDefault="00FF1AC9" w:rsidP="00CC1EA0"/>
    <w:p w:rsidR="00CC1EA0" w:rsidRDefault="00CC1EA0" w:rsidP="00CC1EA0"/>
    <w:p w:rsidR="00685780" w:rsidRDefault="004A6481"/>
    <w:sectPr w:rsidR="0068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64E"/>
    <w:multiLevelType w:val="hybridMultilevel"/>
    <w:tmpl w:val="6162679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37255495"/>
    <w:multiLevelType w:val="hybridMultilevel"/>
    <w:tmpl w:val="267019C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A0"/>
    <w:rsid w:val="001003CA"/>
    <w:rsid w:val="00203D82"/>
    <w:rsid w:val="003B2BEE"/>
    <w:rsid w:val="0094559A"/>
    <w:rsid w:val="00CC1EA0"/>
    <w:rsid w:val="00E12CCB"/>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897D-4BA2-4E1B-914D-B464C1BA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A0"/>
    <w:pPr>
      <w:spacing w:after="200" w:line="276" w:lineRule="auto"/>
      <w:ind w:left="720"/>
      <w:contextualSpacing/>
    </w:pPr>
  </w:style>
  <w:style w:type="paragraph" w:styleId="BalloonText">
    <w:name w:val="Balloon Text"/>
    <w:basedOn w:val="Normal"/>
    <w:link w:val="BalloonTextChar"/>
    <w:uiPriority w:val="99"/>
    <w:semiHidden/>
    <w:unhideWhenUsed/>
    <w:rsid w:val="00E12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Kircher</dc:creator>
  <cp:keywords/>
  <dc:description/>
  <cp:lastModifiedBy>Karl Kircher</cp:lastModifiedBy>
  <cp:revision>1</cp:revision>
  <cp:lastPrinted>2018-01-19T00:17:00Z</cp:lastPrinted>
  <dcterms:created xsi:type="dcterms:W3CDTF">2018-01-18T23:04:00Z</dcterms:created>
  <dcterms:modified xsi:type="dcterms:W3CDTF">2018-01-19T19:38:00Z</dcterms:modified>
</cp:coreProperties>
</file>